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AD88">
      <w:pPr>
        <w:spacing w:line="360" w:lineRule="auto"/>
        <w:ind w:firstLine="422"/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评标标准</w:t>
      </w:r>
    </w:p>
    <w:p w14:paraId="3B33F5B0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12"/>
        <w:tblW w:w="0" w:type="auto"/>
        <w:tblInd w:w="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30"/>
        <w:gridCol w:w="7410"/>
      </w:tblGrid>
      <w:tr w14:paraId="5B15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93F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3B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类别</w:t>
            </w:r>
          </w:p>
        </w:tc>
        <w:tc>
          <w:tcPr>
            <w:tcW w:w="7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979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评分说明</w:t>
            </w:r>
          </w:p>
        </w:tc>
      </w:tr>
      <w:tr w14:paraId="47CA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0909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CBF5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价格</w:t>
            </w:r>
          </w:p>
          <w:p w14:paraId="4554C456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0分）</w:t>
            </w:r>
          </w:p>
        </w:tc>
        <w:tc>
          <w:tcPr>
            <w:tcW w:w="7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2DA6">
            <w:pPr>
              <w:pStyle w:val="1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满足谈判文件要求且最后报价最低的供应商的价格为基准价，其价格分为满分。其他供应商的价格分统一按照下列公式计算：</w:t>
            </w:r>
          </w:p>
          <w:p w14:paraId="15E8C10E">
            <w:pPr>
              <w:pStyle w:val="1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报价得分=（基准价/最后报价）×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0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（四舍五入，保留两位小数）</w:t>
            </w:r>
          </w:p>
          <w:p w14:paraId="22DCA24E">
            <w:pPr>
              <w:pStyle w:val="1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（评标委员会认为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的报价明显低于其他通过符合性审查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的报价，有可能影响项目质量或者不能诚信履约的，且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不能在评标现场合理的时间内证明其报价合理性的，评标委员会有权将其作为无效投标处理。）</w:t>
            </w:r>
          </w:p>
        </w:tc>
      </w:tr>
      <w:tr w14:paraId="74E3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3369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22C38BE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60072B6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97AA562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615706F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E6F3969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0AED16F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09D8E08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7D57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28DF88B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3D46CD4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9AC8043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CD1F65E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563BFFF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DB60F9E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471DAC2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8AA68C4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专业技术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方案</w:t>
            </w:r>
          </w:p>
          <w:p w14:paraId="3A02C592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2A3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695FC4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针对本项目微信公众平台（订阅号、服务号）、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微博平台及扬州景区APP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的相关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工作进行综合评审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0AAD2CE8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</w:rPr>
              <w:t>前期调研、分析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报告，</w:t>
            </w:r>
            <w:r>
              <w:rPr>
                <w:rFonts w:hint="eastAsia" w:ascii="宋体" w:hAnsi="宋体" w:cs="宋体"/>
                <w:kern w:val="0"/>
                <w:szCs w:val="21"/>
              </w:rPr>
              <w:t>制定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总体代维</w:t>
            </w:r>
            <w:r>
              <w:rPr>
                <w:rFonts w:hint="eastAsia" w:ascii="宋体" w:hAnsi="宋体" w:cs="宋体"/>
                <w:kern w:val="0"/>
                <w:szCs w:val="21"/>
              </w:rPr>
              <w:t>服务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规划</w:t>
            </w:r>
            <w:r>
              <w:rPr>
                <w:rFonts w:hint="eastAsia" w:ascii="宋体" w:hAnsi="宋体" w:cs="宋体"/>
                <w:kern w:val="0"/>
                <w:szCs w:val="21"/>
              </w:rPr>
              <w:t>方案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:</w:t>
            </w:r>
          </w:p>
          <w:p w14:paraId="6AF5F04D">
            <w:pPr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方案合理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cs="宋体"/>
                <w:kern w:val="0"/>
                <w:szCs w:val="21"/>
              </w:rPr>
              <w:t>透彻有深度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cs="宋体"/>
                <w:kern w:val="0"/>
                <w:szCs w:val="21"/>
              </w:rPr>
              <w:t>针对性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强</w:t>
            </w:r>
            <w:r>
              <w:rPr>
                <w:rFonts w:hint="eastAsia" w:ascii="宋体" w:hAnsi="宋体" w:cs="宋体"/>
                <w:kern w:val="0"/>
                <w:szCs w:val="21"/>
              </w:rPr>
              <w:t>的得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6F4B19D4">
            <w:pPr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方案分析和针对性较合理有独特角度的得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13DCEBC7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方案分析和针对性存在</w:t>
            </w:r>
            <w:r>
              <w:rPr>
                <w:rFonts w:hint="eastAsia" w:hAnsi="宋体" w:cs="宋体"/>
                <w:kern w:val="0"/>
                <w:szCs w:val="21"/>
              </w:rPr>
              <w:t>偏差</w:t>
            </w:r>
            <w:r>
              <w:rPr>
                <w:rFonts w:hint="eastAsia" w:ascii="宋体" w:hAnsi="宋体" w:cs="宋体"/>
                <w:kern w:val="0"/>
                <w:szCs w:val="21"/>
              </w:rPr>
              <w:t>的得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362F957A">
            <w:pPr>
              <w:pStyle w:val="3"/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方案分析和针对性存在</w:t>
            </w:r>
            <w:r>
              <w:rPr>
                <w:rFonts w:hint="eastAsia" w:hAnsi="宋体" w:cs="宋体"/>
                <w:kern w:val="0"/>
                <w:szCs w:val="21"/>
              </w:rPr>
              <w:t>缺陷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的得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分；</w:t>
            </w:r>
          </w:p>
          <w:p w14:paraId="374FB5DC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未提供的不得分。 </w:t>
            </w:r>
          </w:p>
          <w:p w14:paraId="5DEE4B32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2、微信公众平台（订阅号、服务号）、微博平台及扬州景区APP活动信息的推送、转发、更新服务方案：</w:t>
            </w:r>
          </w:p>
          <w:p w14:paraId="3560BC46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方案内容完整齐全、表述准确、条理清晰的得10分，</w:t>
            </w:r>
          </w:p>
          <w:p w14:paraId="4B55D1E6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方案内容较合理、严密、描述较为详细的得7分；</w:t>
            </w:r>
          </w:p>
          <w:p w14:paraId="4B0F5176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方案基本合理、描述一般、存在可操作性的得4分；</w:t>
            </w:r>
          </w:p>
          <w:p w14:paraId="3283DDC8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方案条理不清晰、内容前后矛盾，不能满足采购需求的得1分，</w:t>
            </w:r>
          </w:p>
          <w:p w14:paraId="1D26984D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未提供的不得分。 </w:t>
            </w:r>
          </w:p>
          <w:p w14:paraId="11B9F0A0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3、如遇重大社会热点或景区紧急宣传需求等临时新增推文的服务方案：</w:t>
            </w:r>
          </w:p>
          <w:p w14:paraId="20EEA32D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方案全面细致、科学合理，完全响应需求，技术可行性强的得10分；</w:t>
            </w:r>
          </w:p>
          <w:p w14:paraId="20696188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方案较为完整，较为科学合理，技术可行性较强的得7分；</w:t>
            </w:r>
          </w:p>
          <w:p w14:paraId="289AE73A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方案基本完整，基本合理，基本响应需求，技术可行性一般的得4分；</w:t>
            </w:r>
          </w:p>
          <w:p w14:paraId="6FA298EF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方案不完整、响应度低、技术可行性较低的得1分； </w:t>
            </w:r>
          </w:p>
          <w:p w14:paraId="2D20557F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未提供的不得分。 </w:t>
            </w:r>
          </w:p>
          <w:p w14:paraId="085365C7">
            <w:pPr>
              <w:pStyle w:val="2"/>
              <w:rPr>
                <w:rFonts w:hint="eastAsia"/>
                <w:lang w:val="en-US" w:eastAsia="zh-CN"/>
              </w:rPr>
            </w:pPr>
          </w:p>
          <w:p w14:paraId="250654B8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4、关于本项目日常运维、人员的安排与工作内容的分配：</w:t>
            </w:r>
          </w:p>
          <w:p w14:paraId="38EEA710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安排科学合理，完全响应项目需求的得10分；</w:t>
            </w:r>
          </w:p>
          <w:p w14:paraId="27086B58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安排较为完整，较为科学合理的得7分；</w:t>
            </w:r>
          </w:p>
          <w:p w14:paraId="666D2DA2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安排基本完整，基本合理，基本响应项目需求的得4分；</w:t>
            </w:r>
          </w:p>
          <w:p w14:paraId="2C981484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安排不完整、不合理、不符合项目需求的得1分；</w:t>
            </w:r>
          </w:p>
          <w:p w14:paraId="4B2CA3A2">
            <w:pPr>
              <w:widowControl/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未提供的不得分。 </w:t>
            </w:r>
          </w:p>
          <w:p w14:paraId="7CEF61EC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5、制定景区员工平台业务培训方案：</w:t>
            </w:r>
          </w:p>
          <w:p w14:paraId="747BBA81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培训方案全面细致、科学合理，完全响应需求，技术可行性强的得10分；</w:t>
            </w:r>
          </w:p>
          <w:p w14:paraId="77585470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培训方案较为完整，较为科学合理，技术可行性较强的得7分；</w:t>
            </w:r>
          </w:p>
          <w:p w14:paraId="40557827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培训方案基本完整，基本合理，基本响应需求，技术可行性一般的得4分；</w:t>
            </w:r>
          </w:p>
          <w:p w14:paraId="1FC68554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培训方案不完整、响应度低、技术可行性较低的得1分； </w:t>
            </w:r>
          </w:p>
          <w:p w14:paraId="16589EF7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未提供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不得分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0A1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012B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6ED7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专业舆论把控</w:t>
            </w:r>
          </w:p>
          <w:p w14:paraId="35DCAB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6B26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针对本项目涉及到舆论导向方面的把控，所需的专业水准进行评审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A347724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方案全面细致、科学合理，完全响应需求，技术可行性强的得10分；</w:t>
            </w:r>
          </w:p>
          <w:p w14:paraId="3DF103A7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方案较为完整，较为科学合理，技术可行性较强的得7分；</w:t>
            </w:r>
          </w:p>
          <w:p w14:paraId="4CE02270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方案基本完整，基本合理，基本响应需求，技术可行性一般的得4分；</w:t>
            </w:r>
          </w:p>
          <w:p w14:paraId="4EEF64C6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方案不完整、响应度低、技术可行性较低的得1分；</w:t>
            </w:r>
          </w:p>
          <w:p w14:paraId="53A3B334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未提供的不得分。</w:t>
            </w:r>
          </w:p>
        </w:tc>
      </w:tr>
      <w:tr w14:paraId="54BC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A87E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7AC8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响应情况</w:t>
            </w:r>
          </w:p>
          <w:p w14:paraId="7238B9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BC6F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定期与采购人集中召开策划会议，讨论下一阶段的制作任务、创作方向、听取采购人诉求、完善服务内容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6E5ECE0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方案全面细致、科学合理，完全响应需求，技术可行性强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6F7C3521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方案较为完整，较为科学合理，技术可行性较强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4C9A364A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方案基本完整，基本合理，基本响应需求，技术可行性一般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78C84D4B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方案不完整、响应度低、技术可行性较低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得1分；</w:t>
            </w:r>
          </w:p>
          <w:p w14:paraId="0E48ABCE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未提供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不得分。</w:t>
            </w:r>
          </w:p>
        </w:tc>
      </w:tr>
      <w:tr w14:paraId="69A39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D672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5489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服务承诺</w:t>
            </w:r>
          </w:p>
          <w:p w14:paraId="0B79CCA1">
            <w:pPr>
              <w:pStyle w:val="1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9E39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服务期内，保证粉丝量、阅读量、互动量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所有数据需真实有效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，提供承诺函得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4分，未提供的不得分。</w:t>
            </w:r>
          </w:p>
          <w:p w14:paraId="1C3C00F1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（需提供承诺函加盖供应商公章，承诺函格式自拟，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未提供不得分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B8B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BDB4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05BF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业绩</w:t>
            </w:r>
          </w:p>
          <w:p w14:paraId="69F97BAD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33BD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供应商自 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 1 月 1 日（以合同签订日期为准）以来，承接并完成类似项目的，每提供一个业绩得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分。 </w:t>
            </w:r>
          </w:p>
          <w:p w14:paraId="7507615E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（需提供相关合同等证明材料复印件，并加盖供应商公章，未提供不得分）</w:t>
            </w:r>
          </w:p>
        </w:tc>
      </w:tr>
      <w:tr w14:paraId="233F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5B3C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总分：100分</w:t>
            </w:r>
          </w:p>
        </w:tc>
      </w:tr>
    </w:tbl>
    <w:p w14:paraId="34EC330F">
      <w:pPr>
        <w:spacing w:line="360" w:lineRule="auto"/>
        <w:rPr>
          <w:rFonts w:ascii="宋体" w:hAnsi="宋体"/>
          <w:b/>
          <w:color w:val="auto"/>
          <w:highlight w:val="none"/>
        </w:rPr>
      </w:pPr>
    </w:p>
    <w:p w14:paraId="7C91AEB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2" w:firstLineChars="200"/>
        <w:textAlignment w:val="auto"/>
        <w:rPr>
          <w:rFonts w:ascii="Times New Roman" w:hAnsi="Times New Roman" w:eastAsia="宋体" w:cs="Times New Roman"/>
          <w:b/>
          <w:bCs/>
          <w:color w:val="auto"/>
        </w:rPr>
      </w:pPr>
    </w:p>
    <w:p w14:paraId="4674D4D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2" w:firstLineChars="200"/>
        <w:textAlignment w:val="auto"/>
        <w:rPr>
          <w:rFonts w:ascii="Times New Roman" w:hAnsi="Times New Roman" w:eastAsia="宋体" w:cs="Times New Roman"/>
          <w:b/>
          <w:bCs/>
          <w:color w:val="auto"/>
        </w:rPr>
      </w:pPr>
      <w:r>
        <w:rPr>
          <w:rFonts w:ascii="Times New Roman" w:hAnsi="Times New Roman" w:eastAsia="宋体" w:cs="Times New Roman"/>
          <w:b/>
          <w:bCs/>
          <w:color w:val="auto"/>
        </w:rPr>
        <w:t>注：</w:t>
      </w: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color w:val="auto"/>
        </w:rPr>
        <w:t>、为便于评分，请投标人按评分表样式，逐条列出证明材料所在页码，格式自定。</w:t>
      </w:r>
    </w:p>
    <w:p w14:paraId="410EADB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843" w:firstLineChars="400"/>
        <w:textAlignment w:val="auto"/>
        <w:rPr>
          <w:rFonts w:hint="eastAsia" w:ascii="Times New Roman" w:hAnsi="Times New Roman" w:eastAsia="宋体" w:cs="Times New Roman"/>
          <w:b/>
          <w:bCs/>
          <w:lang w:eastAsia="zh-CN"/>
        </w:rPr>
        <w:sectPr>
          <w:pgSz w:w="11910" w:h="16840"/>
          <w:pgMar w:top="1040" w:right="860" w:bottom="1180" w:left="920" w:header="858" w:footer="1000" w:gutter="0"/>
          <w:pgNumType w:fmt="decimal"/>
          <w:cols w:space="720" w:num="1"/>
        </w:sectPr>
      </w:pP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color w:val="auto"/>
        </w:rPr>
        <w:t>、计分方式：汇总后取平均值，小数点保留二位</w:t>
      </w:r>
      <w:r>
        <w:rPr>
          <w:rFonts w:hint="eastAsia" w:ascii="Times New Roman" w:hAnsi="Times New Roman" w:eastAsia="宋体" w:cs="Times New Roman"/>
          <w:b/>
          <w:bCs/>
          <w:color w:val="auto"/>
          <w:lang w:eastAsia="zh-CN"/>
        </w:rPr>
        <w:t>。</w:t>
      </w:r>
    </w:p>
    <w:p w14:paraId="35C48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next w:val="3"/>
    <w:qFormat/>
    <w:uiPriority w:val="0"/>
    <w:pPr>
      <w:autoSpaceDE w:val="0"/>
      <w:autoSpaceDN w:val="0"/>
      <w:spacing w:line="360" w:lineRule="auto"/>
      <w:ind w:firstLine="200" w:firstLineChars="200"/>
    </w:pPr>
    <w:rPr>
      <w:rFonts w:ascii="宋体" w:hAnsi="宋体"/>
      <w:kern w:val="0"/>
      <w:szCs w:val="28"/>
    </w:rPr>
  </w:style>
  <w:style w:type="paragraph" w:customStyle="1" w:styleId="3">
    <w:name w:val="Char Char Char Char Char Char Char Char Char"/>
    <w:basedOn w:val="1"/>
    <w:next w:val="4"/>
    <w:qFormat/>
    <w:uiPriority w:val="99"/>
    <w:pPr>
      <w:ind w:left="360" w:firstLine="5784"/>
    </w:pPr>
  </w:style>
  <w:style w:type="paragraph" w:customStyle="1" w:styleId="4">
    <w:name w:val="正文文本 21"/>
    <w:basedOn w:val="1"/>
    <w:next w:val="5"/>
    <w:qFormat/>
    <w:uiPriority w:val="99"/>
    <w:pPr>
      <w:ind w:left="720" w:firstLine="5680"/>
    </w:pPr>
  </w:style>
  <w:style w:type="paragraph" w:customStyle="1" w:styleId="5">
    <w:name w:val="默认段落字体 Para Char Char Char Char Char Char Char"/>
    <w:basedOn w:val="1"/>
    <w:next w:val="6"/>
    <w:qFormat/>
    <w:uiPriority w:val="99"/>
    <w:pPr>
      <w:ind w:firstLine="200" w:firstLineChars="200"/>
    </w:pPr>
  </w:style>
  <w:style w:type="paragraph" w:customStyle="1" w:styleId="6">
    <w:name w:val="样式 首行缩进:  2 字符"/>
    <w:basedOn w:val="1"/>
    <w:next w:val="7"/>
    <w:qFormat/>
    <w:uiPriority w:val="99"/>
    <w:pPr>
      <w:spacing w:line="360" w:lineRule="auto"/>
      <w:ind w:left="480" w:firstLine="5856"/>
    </w:pPr>
  </w:style>
  <w:style w:type="paragraph" w:customStyle="1" w:styleId="7">
    <w:name w:val="样式 段后: 0.25 行"/>
    <w:basedOn w:val="1"/>
    <w:next w:val="8"/>
    <w:qFormat/>
    <w:uiPriority w:val="99"/>
    <w:pPr>
      <w:spacing w:line="300" w:lineRule="auto"/>
      <w:ind w:left="420" w:firstLine="5796"/>
    </w:pPr>
  </w:style>
  <w:style w:type="paragraph" w:customStyle="1" w:styleId="8">
    <w:name w:val="正文 New New New New New New New New New New New New New New"/>
    <w:next w:val="9"/>
    <w:qFormat/>
    <w:uiPriority w:val="99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9">
    <w:name w:val="toc 9"/>
    <w:basedOn w:val="1"/>
    <w:next w:val="1"/>
    <w:uiPriority w:val="0"/>
    <w:pPr>
      <w:ind w:left="3360" w:leftChars="1600"/>
    </w:pPr>
    <w:rPr>
      <w:rFonts w:ascii="Calibri" w:hAnsi="Calibri"/>
    </w:rPr>
  </w:style>
  <w:style w:type="paragraph" w:styleId="10">
    <w:name w:val="Body Text"/>
    <w:basedOn w:val="1"/>
    <w:next w:val="11"/>
    <w:unhideWhenUsed/>
    <w:qFormat/>
    <w:uiPriority w:val="99"/>
    <w:pPr>
      <w:spacing w:after="120"/>
    </w:pPr>
  </w:style>
  <w:style w:type="paragraph" w:styleId="11">
    <w:name w:val="Body Text 2"/>
    <w:basedOn w:val="1"/>
    <w:qFormat/>
    <w:uiPriority w:val="99"/>
    <w:pPr>
      <w:tabs>
        <w:tab w:val="left" w:pos="0"/>
        <w:tab w:val="left" w:pos="993"/>
        <w:tab w:val="left" w:pos="1134"/>
      </w:tabs>
      <w:spacing w:line="240" w:lineRule="exact"/>
    </w:pPr>
    <w:rPr>
      <w:rFonts w:ascii="楷体_GB2312" w:hAnsi="Calibri" w:eastAsia="楷体_GB2312"/>
      <w:sz w:val="18"/>
    </w:rPr>
  </w:style>
  <w:style w:type="paragraph" w:customStyle="1" w:styleId="14">
    <w:name w:val="Table Paragraph"/>
    <w:basedOn w:val="1"/>
    <w:qFormat/>
    <w:uiPriority w:val="99"/>
    <w:pPr>
      <w:jc w:val="left"/>
    </w:pPr>
    <w:rPr>
      <w:rFonts w:ascii="Calibri" w:hAnsi="Calibri" w:cs="Calibr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2026-03-10T07:09:02Z</dcterms:created>
  <dc:creator>Administrator</dc:creator>
  <cp:lastModifiedBy>七彩陶吧</cp:lastModifiedBy>
  <dcterms:modified xsi:type="dcterms:W3CDTF">2026-03-10T07:09:41Z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eyJoZGlkIjoiOGU5OWU2NmRlYjYyNmE2ODIyNGExYThhNWU3ZDNlMDEiLCJ1c2VySWQiOiIyMjcxNzI5NDQifQ==</vt:lpwstr>
  </property>
  <property fmtid="{D5CDD505-2E9C-101B-9397-08002B2CF9AE}" pid="4" name="ICV">
    <vt:lpwstr>ABABB65F7BE6416CB6E012CB02D58A82_12</vt:lpwstr>
  </property>
</Properties>
</file>